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exact"/>
        <w:jc w:val="left"/>
        <w:rPr>
          <w:rFonts w:ascii="仿宋_GB2312" w:hAnsi="华文仿宋" w:eastAsia="仿宋_GB2312"/>
          <w:sz w:val="32"/>
          <w:szCs w:val="32"/>
        </w:rPr>
      </w:pPr>
      <w:r>
        <w:rPr>
          <w:rFonts w:hint="eastAsia" w:ascii="仿宋_GB2312" w:hAnsi="华文仿宋" w:eastAsia="仿宋_GB2312"/>
          <w:sz w:val="32"/>
          <w:szCs w:val="32"/>
        </w:rPr>
        <w:t>附件1：</w:t>
      </w:r>
    </w:p>
    <w:p>
      <w:pPr>
        <w:jc w:val="center"/>
        <w:rPr>
          <w:rFonts w:ascii="黑体" w:eastAsia="黑体"/>
          <w:sz w:val="32"/>
          <w:szCs w:val="32"/>
        </w:rPr>
      </w:pPr>
    </w:p>
    <w:p>
      <w:pPr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职业教育活动周标识</w:t>
      </w:r>
    </w:p>
    <w:p>
      <w:pPr>
        <w:rPr>
          <w:rFonts w:ascii="仿宋_GB2312" w:eastAsia="仿宋_GB2312"/>
          <w:b/>
          <w:sz w:val="24"/>
          <w:szCs w:val="32"/>
        </w:rPr>
      </w:pPr>
    </w:p>
    <w:p>
      <w:pPr>
        <w:jc w:val="center"/>
        <w:rPr>
          <w:rFonts w:ascii="方正小标宋简体" w:eastAsia="方正小标宋简体"/>
          <w:sz w:val="28"/>
          <w:szCs w:val="36"/>
        </w:rPr>
      </w:pPr>
      <w:r>
        <w:rPr>
          <w:rFonts w:ascii="方正小标宋简体" w:eastAsia="方正小标宋简体"/>
          <w:sz w:val="28"/>
          <w:szCs w:val="36"/>
        </w:rPr>
        <w:drawing>
          <wp:inline distT="0" distB="0" distL="114300" distR="114300">
            <wp:extent cx="3529965" cy="3972560"/>
            <wp:effectExtent l="0" t="0" r="13335" b="8890"/>
            <wp:docPr id="1" name="图片 1" descr="职业教育活动周标识（LOGO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职业教育活动周标识（LOGO）"/>
                    <pic:cNvPicPr>
                      <a:picLocks noChangeAspect="1"/>
                    </pic:cNvPicPr>
                  </pic:nvPicPr>
                  <pic:blipFill>
                    <a:blip r:embed="rId5"/>
                    <a:srcRect l="13257" t="12064" r="9091" b="26006"/>
                    <a:stretch>
                      <a:fillRect/>
                    </a:stretch>
                  </pic:blipFill>
                  <pic:spPr>
                    <a:xfrm>
                      <a:off x="0" y="0"/>
                      <a:ext cx="3529965" cy="39725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.标识设计以手为造型基础，突出“手”这一主题元素，简洁贴切地勾画出职业教育的可视形象，昭示着“劳动光荣、技能宝贵、创造伟大”，直观地展现职业教育活动周的活动，立意准确，寓意深远。特别是，“手掌”的设计经过巧妙处理，融入“齿轮”轮廓，强化设计主题的“职业性”，突出“产教融合”的含义，同时，字母“e”是教育的英文首字母。通过“e”的变形，直观地为标识引入“互联网+”的时代背景，彰显我国职业教育的“现代性”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2.五个张开的“手指”，使得整个标识似冉冉升起的一轮朝阳，昭示中国职教的基础地位和职教中国的精彩未来。通过五种色彩的变化，象征职业教育国际化。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.设计以象征技术技能人才的蓝色为主题色，融合中国风的笔墨元素，既展示中华优秀传统文化的艺术魅力，又展现我国现代职业教育体系的“中国”属性，图案构成流畅自然，沉稳而又生动简洁，便于传播使用。</w:t>
      </w:r>
    </w:p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</w: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FA774E"/>
    <w:rsid w:val="45FA774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2017-04-19T06:33:00Z</dcterms:created>
  <dc:creator>dell</dc:creator>
  <cp:lastModifiedBy>dell</cp:lastModifiedBy>
  <dcterms:modified xsi:type="dcterms:W3CDTF">2017-04-19T06:35:07Z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